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3BD">
        <w:rPr>
          <w:rFonts w:ascii="Times New Roman" w:hAnsi="Times New Roman" w:cs="Times New Roman"/>
          <w:sz w:val="28"/>
          <w:szCs w:val="28"/>
        </w:rPr>
        <w:t>пән</w:t>
      </w:r>
      <w:proofErr w:type="spellEnd"/>
      <w:proofErr w:type="gram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"PR-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метадеректер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"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1.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ұғымдарын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1. "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ұғымының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тұжырымдары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Жеке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тұтынушылармен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Адам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СО-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елдеріндегі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субъектісі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эволюциясы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lastRenderedPageBreak/>
        <w:t xml:space="preserve">Семинар 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журналистиканы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Журналистиканың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Насихат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Журналистика,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насихаттың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PR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маркетингтің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сатуды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жариялылық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Синтетикалық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Мамандықтағы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"БАҚ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2. ҚР "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3. "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PR-мен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Жұртшылықпен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жобалары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шарттық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база.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6.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Тіршіліктің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бөлу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(1995-1996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.).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3. 1997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Хельсинкиде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конгресінде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Дәстүрлер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мораль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PR-шик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портреті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7.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lastRenderedPageBreak/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ажырату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Медирилейшнз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3. Консалтинг.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Жариялылық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Қызметкерлермен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8.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3. БАҚ-та PR.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Бейресми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5. "АҚ "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" PR.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9.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аудиторияларымен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Имидж мен бренд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10.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модельдерінің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әртүрлілігін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суреттеңіз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Баспасөз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медиациясы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Жұртшылықты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асимметриялық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модель.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симметриялы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модель.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түрлендіру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Семинар 11. PR-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шағымдарды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мультимедиялық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Презентация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Презентациялардың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Сценарийді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Бюджеттеу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ағындардың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тану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ағынын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ағынын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сегменттеу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ағындары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Эксклюзивті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13. Назар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маркетингі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сәттілігін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критерийлер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өзгергіштігі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14. PR-да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социометрияны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15.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ретке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келтіру-араластыру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балл: 10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Басымдықтарды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Коммуникацияны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орталықтары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Синергияға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5. Интеграция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нарықтық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экономикада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коммуникацияларды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бизнес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кезеңдерін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: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3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13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негіздерінің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өлшемдерін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;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3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13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саланың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жай-күйіне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аудара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рөліне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;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3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3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мысалдармен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құрылымдардағы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мекемелердегі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қоғамдық-саяси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функцияларына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сабағының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әдебиеттермен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пайдаланыңыз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lastRenderedPageBreak/>
        <w:t>Теориялық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материалдың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тәжірибенің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мысалдарын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803792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Жауаптарда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PR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гипотезалар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эксперименттерді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3B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113BD">
        <w:rPr>
          <w:rFonts w:ascii="Times New Roman" w:hAnsi="Times New Roman" w:cs="Times New Roman"/>
          <w:sz w:val="28"/>
          <w:szCs w:val="28"/>
        </w:rPr>
        <w:t>.</w:t>
      </w:r>
    </w:p>
    <w:p w:rsid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Pr="00F745AC" w:rsidRDefault="00F113BD" w:rsidP="00F113BD">
      <w:pPr>
        <w:pStyle w:val="a3"/>
        <w:tabs>
          <w:tab w:val="left" w:pos="1260"/>
        </w:tabs>
        <w:rPr>
          <w:b/>
          <w:i/>
          <w:sz w:val="24"/>
        </w:rPr>
      </w:pPr>
      <w:r>
        <w:rPr>
          <w:b/>
          <w:i/>
          <w:sz w:val="24"/>
          <w:lang w:val="kk-KZ"/>
        </w:rPr>
        <w:t>Семинар сабағына қойылатын балдар</w:t>
      </w:r>
    </w:p>
    <w:p w:rsidR="00F113BD" w:rsidRDefault="00F113BD" w:rsidP="00F113BD">
      <w:pPr>
        <w:pStyle w:val="a3"/>
        <w:tabs>
          <w:tab w:val="left" w:pos="1260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307"/>
        <w:gridCol w:w="1505"/>
      </w:tblGrid>
      <w:tr w:rsidR="00F113BD" w:rsidTr="00F113BD">
        <w:tc>
          <w:tcPr>
            <w:tcW w:w="533" w:type="dxa"/>
          </w:tcPr>
          <w:p w:rsidR="00F113BD" w:rsidRPr="00134576" w:rsidRDefault="00F113BD" w:rsidP="00D85920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№</w:t>
            </w:r>
          </w:p>
        </w:tc>
        <w:tc>
          <w:tcPr>
            <w:tcW w:w="7307" w:type="dxa"/>
          </w:tcPr>
          <w:p w:rsidR="00F113BD" w:rsidRPr="00134576" w:rsidRDefault="00F113BD" w:rsidP="00D85920">
            <w:pPr>
              <w:pStyle w:val="a3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Тема</w:t>
            </w:r>
          </w:p>
        </w:tc>
        <w:tc>
          <w:tcPr>
            <w:tcW w:w="1505" w:type="dxa"/>
          </w:tcPr>
          <w:p w:rsidR="00F113BD" w:rsidRPr="00134576" w:rsidRDefault="00F113BD" w:rsidP="00D85920">
            <w:pPr>
              <w:pStyle w:val="a3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Баллы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bookmarkStart w:id="0" w:name="_GoBack"/>
            <w:bookmarkEnd w:id="0"/>
            <w:r w:rsidRPr="00134576">
              <w:rPr>
                <w:sz w:val="24"/>
                <w:lang w:val="ru-RU" w:eastAsia="ru-RU"/>
              </w:rPr>
              <w:t>1.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Қоғамдық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қатынастардың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мәні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2.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Қазіргі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әлемдегі</w:t>
            </w:r>
            <w:proofErr w:type="spellEnd"/>
            <w:r w:rsidRPr="00BB5873">
              <w:t xml:space="preserve"> "</w:t>
            </w:r>
            <w:proofErr w:type="spellStart"/>
            <w:r w:rsidRPr="00BB5873">
              <w:t>қоғаммен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байланыс</w:t>
            </w:r>
            <w:proofErr w:type="spellEnd"/>
            <w:r w:rsidRPr="00BB5873">
              <w:t xml:space="preserve">" </w:t>
            </w:r>
            <w:proofErr w:type="spellStart"/>
            <w:r w:rsidRPr="00BB5873">
              <w:t>рөлі</w:t>
            </w:r>
            <w:proofErr w:type="spellEnd"/>
            <w:r w:rsidRPr="00BB5873">
              <w:t xml:space="preserve"> мен </w:t>
            </w:r>
            <w:proofErr w:type="spellStart"/>
            <w:r w:rsidRPr="00BB5873">
              <w:t>орны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3.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Кәсіби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қызметтің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мазмұны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4.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Co</w:t>
            </w:r>
            <w:proofErr w:type="spellEnd"/>
            <w:r w:rsidRPr="00BB5873">
              <w:t xml:space="preserve">, журналистика, </w:t>
            </w:r>
            <w:proofErr w:type="spellStart"/>
            <w:r w:rsidRPr="00BB5873">
              <w:t>жарнама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және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насихат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арасындағы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айырмашылықтар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5.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PR </w:t>
            </w:r>
            <w:proofErr w:type="spellStart"/>
            <w:r w:rsidRPr="00BB5873">
              <w:t>саласындағы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қызметтің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ақпараттық-құқықтық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базасы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6.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PR </w:t>
            </w:r>
            <w:proofErr w:type="spellStart"/>
            <w:r w:rsidRPr="00BB5873">
              <w:t>жұмысының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әлеуметтік-мәдени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базасы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7.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Қызмет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бағыттары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8.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PR </w:t>
            </w:r>
            <w:proofErr w:type="spellStart"/>
            <w:r w:rsidRPr="00BB5873">
              <w:t>технологиясының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негізгі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түрлері</w:t>
            </w:r>
            <w:proofErr w:type="spellEnd"/>
            <w:r w:rsidRPr="00BB5873">
              <w:t xml:space="preserve">, </w:t>
            </w:r>
            <w:proofErr w:type="spellStart"/>
            <w:r w:rsidRPr="00BB5873">
              <w:t>олардың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жіктелуі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9.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PR </w:t>
            </w:r>
            <w:proofErr w:type="spellStart"/>
            <w:r w:rsidRPr="00BB5873">
              <w:t>функциялары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10.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Негізгі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модельдер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11.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Презентация </w:t>
            </w:r>
            <w:proofErr w:type="spellStart"/>
            <w:r w:rsidRPr="00BB5873">
              <w:t>типтік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практикалық</w:t>
            </w:r>
            <w:proofErr w:type="spellEnd"/>
            <w:r w:rsidRPr="00BB5873">
              <w:t xml:space="preserve"> модель </w:t>
            </w:r>
            <w:proofErr w:type="spellStart"/>
            <w:r w:rsidRPr="00BB5873">
              <w:t>ретінде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12.</w:t>
            </w:r>
          </w:p>
        </w:tc>
        <w:tc>
          <w:tcPr>
            <w:tcW w:w="7307" w:type="dxa"/>
          </w:tcPr>
          <w:p w:rsidR="00F113BD" w:rsidRPr="00BB5873" w:rsidRDefault="00F113BD" w:rsidP="00F113BD">
            <w:r w:rsidRPr="00BB5873">
              <w:t xml:space="preserve">PR </w:t>
            </w:r>
            <w:proofErr w:type="spellStart"/>
            <w:r w:rsidRPr="00BB5873">
              <w:t>қызметіндегі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ақпаратты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басқару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13.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Технологиялық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құрал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ретінде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арнайы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ұйымдастырылған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оқиғалар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14.</w:t>
            </w:r>
          </w:p>
        </w:tc>
        <w:tc>
          <w:tcPr>
            <w:tcW w:w="7307" w:type="dxa"/>
          </w:tcPr>
          <w:p w:rsidR="00F113BD" w:rsidRPr="00BB5873" w:rsidRDefault="00F113BD" w:rsidP="00F113BD">
            <w:proofErr w:type="spellStart"/>
            <w:r w:rsidRPr="00BB5873">
              <w:t>Қоғамдық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пікірді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зерттеу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  <w:tr w:rsidR="00F113BD" w:rsidTr="00F113BD">
        <w:tc>
          <w:tcPr>
            <w:tcW w:w="533" w:type="dxa"/>
          </w:tcPr>
          <w:p w:rsidR="00F113BD" w:rsidRPr="00134576" w:rsidRDefault="00F113BD" w:rsidP="00F113BD">
            <w:pPr>
              <w:pStyle w:val="a3"/>
              <w:tabs>
                <w:tab w:val="left" w:pos="1260"/>
              </w:tabs>
              <w:jc w:val="both"/>
              <w:rPr>
                <w:sz w:val="24"/>
                <w:lang w:val="ru-RU" w:eastAsia="ru-RU"/>
              </w:rPr>
            </w:pPr>
            <w:r w:rsidRPr="00134576">
              <w:rPr>
                <w:sz w:val="24"/>
                <w:lang w:val="ru-RU" w:eastAsia="ru-RU"/>
              </w:rPr>
              <w:t>15.</w:t>
            </w:r>
          </w:p>
        </w:tc>
        <w:tc>
          <w:tcPr>
            <w:tcW w:w="7307" w:type="dxa"/>
          </w:tcPr>
          <w:p w:rsidR="00F113BD" w:rsidRDefault="00F113BD" w:rsidP="00F113BD">
            <w:proofErr w:type="spellStart"/>
            <w:r w:rsidRPr="00BB5873">
              <w:t>Кешенді</w:t>
            </w:r>
            <w:proofErr w:type="spellEnd"/>
            <w:r w:rsidRPr="00BB5873">
              <w:t xml:space="preserve"> </w:t>
            </w:r>
            <w:proofErr w:type="spellStart"/>
            <w:r w:rsidRPr="00BB5873">
              <w:t>коммуникациялар</w:t>
            </w:r>
            <w:proofErr w:type="spellEnd"/>
            <w:r w:rsidRPr="00BB5873">
              <w:t>.</w:t>
            </w:r>
          </w:p>
        </w:tc>
        <w:tc>
          <w:tcPr>
            <w:tcW w:w="1505" w:type="dxa"/>
          </w:tcPr>
          <w:p w:rsidR="00F113BD" w:rsidRDefault="00F113BD" w:rsidP="00F113BD">
            <w:pPr>
              <w:jc w:val="center"/>
            </w:pPr>
            <w:r w:rsidRPr="004706C4">
              <w:t>10</w:t>
            </w:r>
          </w:p>
        </w:tc>
      </w:tr>
    </w:tbl>
    <w:p w:rsidR="00F113BD" w:rsidRDefault="00F113BD" w:rsidP="00F113BD">
      <w:pPr>
        <w:pStyle w:val="a3"/>
        <w:tabs>
          <w:tab w:val="left" w:pos="1260"/>
        </w:tabs>
        <w:rPr>
          <w:b/>
          <w:sz w:val="24"/>
        </w:rPr>
      </w:pPr>
    </w:p>
    <w:p w:rsidR="00F113BD" w:rsidRDefault="00F113BD" w:rsidP="00F113B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113BD" w:rsidRDefault="00F113BD" w:rsidP="00F113B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113BD" w:rsidRDefault="00F113BD" w:rsidP="00F113B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113BD" w:rsidRDefault="00F113BD" w:rsidP="00F113B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113BD" w:rsidRPr="00254B8B" w:rsidRDefault="00F113BD" w:rsidP="00F113B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254B8B">
        <w:rPr>
          <w:b/>
        </w:rPr>
        <w:t>Список литературы</w:t>
      </w:r>
    </w:p>
    <w:p w:rsidR="00F113BD" w:rsidRPr="00254B8B" w:rsidRDefault="00F113BD" w:rsidP="00F113BD">
      <w:pPr>
        <w:jc w:val="center"/>
        <w:rPr>
          <w:b/>
        </w:rPr>
      </w:pPr>
      <w:r w:rsidRPr="00254B8B">
        <w:rPr>
          <w:b/>
        </w:rPr>
        <w:t>Основная</w:t>
      </w:r>
    </w:p>
    <w:p w:rsidR="00F113BD" w:rsidRPr="00254B8B" w:rsidRDefault="00F113BD" w:rsidP="00F113BD">
      <w:pPr>
        <w:jc w:val="both"/>
      </w:pPr>
      <w:r w:rsidRPr="00254B8B">
        <w:t xml:space="preserve">1. </w:t>
      </w:r>
      <w:proofErr w:type="spellStart"/>
      <w:r w:rsidRPr="00254B8B">
        <w:t>Альжанова</w:t>
      </w:r>
      <w:proofErr w:type="spellEnd"/>
      <w:r w:rsidRPr="00254B8B">
        <w:t xml:space="preserve"> А.Б. Связи с общественностью. - А., 2011. </w:t>
      </w:r>
    </w:p>
    <w:p w:rsidR="00F113BD" w:rsidRPr="00254B8B" w:rsidRDefault="00F113BD" w:rsidP="00F113BD">
      <w:pPr>
        <w:jc w:val="both"/>
      </w:pPr>
      <w:r w:rsidRPr="00254B8B">
        <w:t xml:space="preserve">2. </w:t>
      </w:r>
      <w:proofErr w:type="spellStart"/>
      <w:r w:rsidRPr="00254B8B">
        <w:t>Блэк</w:t>
      </w:r>
      <w:proofErr w:type="spellEnd"/>
      <w:r w:rsidRPr="00254B8B">
        <w:t xml:space="preserve"> С. Введение в связи с общественностью. - </w:t>
      </w:r>
      <w:proofErr w:type="spellStart"/>
      <w:r w:rsidRPr="00254B8B">
        <w:t>Р.н</w:t>
      </w:r>
      <w:proofErr w:type="spellEnd"/>
      <w:r w:rsidRPr="00254B8B">
        <w:t xml:space="preserve">/Д., 1998. </w:t>
      </w:r>
    </w:p>
    <w:p w:rsidR="00F113BD" w:rsidRDefault="00F113BD" w:rsidP="00F113BD">
      <w:pPr>
        <w:jc w:val="both"/>
        <w:rPr>
          <w:lang w:val="en-US"/>
        </w:rPr>
      </w:pPr>
      <w:r w:rsidRPr="00254B8B">
        <w:rPr>
          <w:lang w:val="en-US"/>
        </w:rPr>
        <w:lastRenderedPageBreak/>
        <w:t xml:space="preserve">3. </w:t>
      </w:r>
      <w:proofErr w:type="spellStart"/>
      <w:r w:rsidRPr="00254B8B">
        <w:rPr>
          <w:lang w:val="en-US"/>
        </w:rPr>
        <w:t>Butterick</w:t>
      </w:r>
      <w:proofErr w:type="spellEnd"/>
      <w:r w:rsidRPr="00254B8B">
        <w:rPr>
          <w:lang w:val="en-US"/>
        </w:rPr>
        <w:t xml:space="preserve"> Keith. Introducing Public Relations. - Los Angeles, 2011.</w:t>
      </w:r>
    </w:p>
    <w:p w:rsidR="00F113BD" w:rsidRPr="00F63085" w:rsidRDefault="00F113BD" w:rsidP="00F113BD">
      <w:pPr>
        <w:jc w:val="both"/>
      </w:pPr>
      <w:r>
        <w:rPr>
          <w:shd w:val="clear" w:color="auto" w:fill="FFFFFF"/>
        </w:rPr>
        <w:t xml:space="preserve">4. Бердников И.П., </w:t>
      </w:r>
      <w:proofErr w:type="spellStart"/>
      <w:r>
        <w:rPr>
          <w:shd w:val="clear" w:color="auto" w:fill="FFFFFF"/>
        </w:rPr>
        <w:t>Стрижкова</w:t>
      </w:r>
      <w:proofErr w:type="spellEnd"/>
      <w:r>
        <w:rPr>
          <w:shd w:val="clear" w:color="auto" w:fill="FFFFFF"/>
        </w:rPr>
        <w:t xml:space="preserve"> А.Ф. </w:t>
      </w:r>
      <w:r>
        <w:rPr>
          <w:shd w:val="clear" w:color="auto" w:fill="FFFFFF"/>
          <w:lang w:val="en-US"/>
        </w:rPr>
        <w:t>PR</w:t>
      </w:r>
      <w:r>
        <w:rPr>
          <w:shd w:val="clear" w:color="auto" w:fill="FFFFFF"/>
        </w:rPr>
        <w:t>-коммуникации. - М., 2017.</w:t>
      </w:r>
    </w:p>
    <w:p w:rsidR="00F113BD" w:rsidRDefault="00F113BD" w:rsidP="00F113BD">
      <w:pPr>
        <w:jc w:val="both"/>
      </w:pPr>
      <w:r>
        <w:t>5</w:t>
      </w:r>
      <w:r w:rsidRPr="00254B8B">
        <w:t>. Богданов В.В., Геллер И.С. Введение в специальность «Связи с общественностью». - Новосибирск, 2009.</w:t>
      </w:r>
    </w:p>
    <w:p w:rsidR="00F113BD" w:rsidRPr="00254B8B" w:rsidRDefault="00F113BD" w:rsidP="00F113BD">
      <w:pPr>
        <w:jc w:val="both"/>
      </w:pPr>
      <w:r>
        <w:rPr>
          <w:shd w:val="clear" w:color="auto" w:fill="FFFFFF"/>
        </w:rPr>
        <w:t xml:space="preserve">6. </w:t>
      </w:r>
      <w:proofErr w:type="spellStart"/>
      <w:r>
        <w:rPr>
          <w:shd w:val="clear" w:color="auto" w:fill="FFFFFF"/>
        </w:rPr>
        <w:t>Калиберда</w:t>
      </w:r>
      <w:proofErr w:type="spellEnd"/>
      <w:r>
        <w:rPr>
          <w:shd w:val="clear" w:color="auto" w:fill="FFFFFF"/>
        </w:rPr>
        <w:t xml:space="preserve"> Е.Г. Связи с общественностью. Вводный курс. - М., 2012.</w:t>
      </w:r>
    </w:p>
    <w:p w:rsidR="00F113BD" w:rsidRPr="00254B8B" w:rsidRDefault="00F113BD" w:rsidP="00F113BD">
      <w:pPr>
        <w:jc w:val="both"/>
      </w:pPr>
      <w:r>
        <w:t>7</w:t>
      </w:r>
      <w:r w:rsidRPr="00254B8B">
        <w:t xml:space="preserve">. </w:t>
      </w:r>
      <w:proofErr w:type="spellStart"/>
      <w:r w:rsidRPr="00254B8B">
        <w:t>Козыбаев</w:t>
      </w:r>
      <w:proofErr w:type="spellEnd"/>
      <w:r w:rsidRPr="00254B8B">
        <w:t xml:space="preserve"> С. К., </w:t>
      </w:r>
      <w:proofErr w:type="spellStart"/>
      <w:r w:rsidRPr="00254B8B">
        <w:t>Нода</w:t>
      </w:r>
      <w:proofErr w:type="spellEnd"/>
      <w:r w:rsidRPr="00254B8B">
        <w:t xml:space="preserve"> Л. П., Рожков А. В. Журналистика Казахстана. Энциклопедия. - А., 2006. </w:t>
      </w:r>
    </w:p>
    <w:p w:rsidR="00F113BD" w:rsidRPr="00254B8B" w:rsidRDefault="00F113BD" w:rsidP="00F113BD">
      <w:pPr>
        <w:jc w:val="both"/>
      </w:pPr>
      <w:r>
        <w:t>8</w:t>
      </w:r>
      <w:r w:rsidRPr="00254B8B">
        <w:t xml:space="preserve"> </w:t>
      </w:r>
      <w:r w:rsidRPr="00254B8B">
        <w:rPr>
          <w:shd w:val="clear" w:color="auto" w:fill="FFFFFF"/>
        </w:rPr>
        <w:t xml:space="preserve">Коноваленко </w:t>
      </w:r>
      <w:proofErr w:type="spellStart"/>
      <w:proofErr w:type="gramStart"/>
      <w:r w:rsidRPr="00254B8B">
        <w:rPr>
          <w:shd w:val="clear" w:color="auto" w:fill="FFFFFF"/>
        </w:rPr>
        <w:t>В.А.,Коноваленко</w:t>
      </w:r>
      <w:proofErr w:type="spellEnd"/>
      <w:proofErr w:type="gramEnd"/>
      <w:r w:rsidRPr="00254B8B">
        <w:rPr>
          <w:shd w:val="clear" w:color="auto" w:fill="FFFFFF"/>
        </w:rPr>
        <w:t xml:space="preserve"> М.Ю., Швед Н.Г. </w:t>
      </w:r>
      <w:r w:rsidRPr="00254B8B">
        <w:t>Реклама и связи с общественностью: введение в специальность. - М., 201</w:t>
      </w:r>
      <w:r>
        <w:t>9</w:t>
      </w:r>
      <w:r w:rsidRPr="00254B8B">
        <w:t>.</w:t>
      </w:r>
    </w:p>
    <w:p w:rsidR="00F113BD" w:rsidRPr="00254B8B" w:rsidRDefault="00F113BD" w:rsidP="00F113BD">
      <w:pPr>
        <w:jc w:val="both"/>
      </w:pPr>
      <w:r>
        <w:t>9</w:t>
      </w:r>
      <w:r w:rsidRPr="00254B8B">
        <w:t xml:space="preserve">. </w:t>
      </w:r>
      <w:proofErr w:type="spellStart"/>
      <w:r w:rsidRPr="00254B8B">
        <w:t>Савруцкая</w:t>
      </w:r>
      <w:proofErr w:type="spellEnd"/>
      <w:r w:rsidRPr="00254B8B">
        <w:t xml:space="preserve"> Е.П. Связи с общественностью. Вводный курс. - </w:t>
      </w:r>
      <w:proofErr w:type="gramStart"/>
      <w:r w:rsidRPr="00254B8B">
        <w:t>СПб.,</w:t>
      </w:r>
      <w:proofErr w:type="gramEnd"/>
      <w:r w:rsidRPr="00254B8B">
        <w:t xml:space="preserve"> 2010.</w:t>
      </w:r>
    </w:p>
    <w:p w:rsidR="00F113BD" w:rsidRPr="00254B8B" w:rsidRDefault="00F113BD" w:rsidP="00F113BD">
      <w:pPr>
        <w:jc w:val="both"/>
      </w:pPr>
      <w:r>
        <w:t>10</w:t>
      </w:r>
      <w:r w:rsidRPr="00254B8B">
        <w:t>. Татаринова Г. Н. Введение в специальность «Связи с общественностью». - Омск, 2000.</w:t>
      </w:r>
    </w:p>
    <w:p w:rsidR="00F113BD" w:rsidRPr="00254B8B" w:rsidRDefault="00F113BD" w:rsidP="00F113BD">
      <w:pPr>
        <w:jc w:val="center"/>
        <w:rPr>
          <w:b/>
        </w:rPr>
      </w:pPr>
      <w:r w:rsidRPr="00254B8B">
        <w:rPr>
          <w:b/>
        </w:rPr>
        <w:t>Дополнительная</w:t>
      </w:r>
    </w:p>
    <w:p w:rsidR="00F113BD" w:rsidRDefault="00F113BD" w:rsidP="00F113BD">
      <w:pPr>
        <w:tabs>
          <w:tab w:val="left" w:pos="4635"/>
        </w:tabs>
        <w:jc w:val="both"/>
        <w:rPr>
          <w:lang w:val="kk-KZ"/>
        </w:rPr>
      </w:pPr>
      <w:r w:rsidRPr="00254B8B">
        <w:t xml:space="preserve">1. </w:t>
      </w:r>
      <w:proofErr w:type="spellStart"/>
      <w:r w:rsidRPr="00254B8B">
        <w:t>Балахонская</w:t>
      </w:r>
      <w:proofErr w:type="spellEnd"/>
      <w:r w:rsidRPr="00254B8B">
        <w:t xml:space="preserve"> Л.В. </w:t>
      </w:r>
      <w:r w:rsidRPr="00254B8B">
        <w:rPr>
          <w:lang w:val="en-US"/>
        </w:rPr>
        <w:t>PR</w:t>
      </w:r>
      <w:r w:rsidRPr="00254B8B">
        <w:t>-текст</w:t>
      </w:r>
      <w:r w:rsidRPr="00254B8B">
        <w:rPr>
          <w:lang w:val="kk-KZ"/>
        </w:rPr>
        <w:t>: структура, оформление, содержание. СПб., 2015.</w:t>
      </w:r>
    </w:p>
    <w:p w:rsidR="00F113BD" w:rsidRPr="00254B8B" w:rsidRDefault="00F113BD" w:rsidP="00F113BD">
      <w:pPr>
        <w:tabs>
          <w:tab w:val="left" w:pos="4635"/>
        </w:tabs>
        <w:jc w:val="both"/>
      </w:pPr>
      <w:r>
        <w:t xml:space="preserve">2. </w:t>
      </w:r>
      <w:proofErr w:type="spellStart"/>
      <w:r>
        <w:t>Брославская</w:t>
      </w:r>
      <w:proofErr w:type="spellEnd"/>
      <w:r>
        <w:t xml:space="preserve"> Н., </w:t>
      </w:r>
      <w:proofErr w:type="spellStart"/>
      <w:r>
        <w:t>Жанибекова</w:t>
      </w:r>
      <w:proofErr w:type="spellEnd"/>
      <w:r>
        <w:t xml:space="preserve"> Ш., </w:t>
      </w:r>
      <w:proofErr w:type="spellStart"/>
      <w:r>
        <w:t>Досаева</w:t>
      </w:r>
      <w:proofErr w:type="spellEnd"/>
      <w:r>
        <w:t xml:space="preserve"> А., </w:t>
      </w:r>
      <w:proofErr w:type="spellStart"/>
      <w:r>
        <w:t>Коковинец</w:t>
      </w:r>
      <w:proofErr w:type="spellEnd"/>
      <w:r>
        <w:t xml:space="preserve"> Л., </w:t>
      </w:r>
      <w:proofErr w:type="spellStart"/>
      <w:r>
        <w:t>Караулова</w:t>
      </w:r>
      <w:proofErr w:type="spellEnd"/>
      <w:r>
        <w:t xml:space="preserve"> А., Еськова Н. Книга кейсов ПР-специалистов. - А., 2019.</w:t>
      </w:r>
    </w:p>
    <w:p w:rsidR="00F113BD" w:rsidRPr="00254B8B" w:rsidRDefault="00F113BD" w:rsidP="00F113BD">
      <w:pPr>
        <w:tabs>
          <w:tab w:val="left" w:pos="4635"/>
        </w:tabs>
        <w:jc w:val="both"/>
      </w:pPr>
      <w:r>
        <w:t>3</w:t>
      </w:r>
      <w:r w:rsidRPr="00254B8B">
        <w:t xml:space="preserve">. </w:t>
      </w:r>
      <w:proofErr w:type="spellStart"/>
      <w:r w:rsidRPr="00254B8B">
        <w:t>Варакута</w:t>
      </w:r>
      <w:proofErr w:type="spellEnd"/>
      <w:r w:rsidRPr="00254B8B">
        <w:t xml:space="preserve"> С.А. Связи с общественностью. - М., 201</w:t>
      </w:r>
      <w:r>
        <w:t>9</w:t>
      </w:r>
      <w:r w:rsidRPr="00254B8B">
        <w:t>.</w:t>
      </w:r>
    </w:p>
    <w:p w:rsidR="00F113BD" w:rsidRDefault="00F113BD" w:rsidP="00F113BD">
      <w:pPr>
        <w:pStyle w:val="1"/>
        <w:spacing w:line="240" w:lineRule="auto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</w:t>
      </w:r>
      <w:r w:rsidRPr="00254B8B">
        <w:rPr>
          <w:rFonts w:ascii="Times New Roman" w:hAnsi="Times New Roman"/>
          <w:b w:val="0"/>
          <w:color w:val="000000"/>
        </w:rPr>
        <w:t xml:space="preserve">. Гринберг Т.Э. </w:t>
      </w:r>
      <w:r w:rsidRPr="00254B8B">
        <w:rPr>
          <w:rFonts w:ascii="Times New Roman" w:hAnsi="Times New Roman"/>
          <w:b w:val="0"/>
        </w:rPr>
        <w:t xml:space="preserve">Связи с общественностью. Теория, практика, коммуникационные стратегии. </w:t>
      </w:r>
      <w:r w:rsidRPr="00254B8B">
        <w:rPr>
          <w:rFonts w:ascii="Times New Roman" w:hAnsi="Times New Roman"/>
          <w:b w:val="0"/>
          <w:color w:val="000000"/>
        </w:rPr>
        <w:t>- М., 2013.</w:t>
      </w:r>
    </w:p>
    <w:p w:rsidR="00F113BD" w:rsidRPr="000A4F6D" w:rsidRDefault="00F113BD" w:rsidP="00F113BD">
      <w:pPr>
        <w:jc w:val="both"/>
      </w:pPr>
      <w:r>
        <w:t xml:space="preserve">5. Ермолова Н. Продвижение бизнеса в социальных сетях </w:t>
      </w:r>
      <w:r>
        <w:rPr>
          <w:lang w:val="en-US"/>
        </w:rPr>
        <w:t>Facebook</w:t>
      </w:r>
      <w:r w:rsidRPr="000A4F6D">
        <w:t xml:space="preserve"> </w:t>
      </w:r>
      <w:r>
        <w:rPr>
          <w:lang w:val="en-US"/>
        </w:rPr>
        <w:t>Twitter</w:t>
      </w:r>
      <w:r w:rsidRPr="000A4F6D">
        <w:t xml:space="preserve"> </w:t>
      </w:r>
      <w:r>
        <w:rPr>
          <w:lang w:val="en-US"/>
        </w:rPr>
        <w:t>Google</w:t>
      </w:r>
      <w:r>
        <w:t>+. - М., 2017.</w:t>
      </w:r>
    </w:p>
    <w:p w:rsidR="00F113BD" w:rsidRPr="00254B8B" w:rsidRDefault="00F113BD" w:rsidP="00F113BD">
      <w:pPr>
        <w:jc w:val="both"/>
      </w:pPr>
      <w:r>
        <w:t>6</w:t>
      </w:r>
      <w:r w:rsidRPr="00254B8B">
        <w:t xml:space="preserve">. </w:t>
      </w:r>
      <w:proofErr w:type="spellStart"/>
      <w:r w:rsidRPr="00254B8B">
        <w:t>Китчен</w:t>
      </w:r>
      <w:proofErr w:type="spellEnd"/>
      <w:r w:rsidRPr="00254B8B">
        <w:t xml:space="preserve"> Ф. Паблик </w:t>
      </w:r>
      <w:proofErr w:type="spellStart"/>
      <w:r w:rsidRPr="00254B8B">
        <w:t>рилейшнз</w:t>
      </w:r>
      <w:proofErr w:type="spellEnd"/>
      <w:r w:rsidRPr="00254B8B">
        <w:t xml:space="preserve">: принципы и </w:t>
      </w:r>
      <w:proofErr w:type="gramStart"/>
      <w:r w:rsidRPr="00254B8B">
        <w:t>практика.-</w:t>
      </w:r>
      <w:proofErr w:type="gramEnd"/>
      <w:r w:rsidRPr="00254B8B">
        <w:t xml:space="preserve"> М., 2004.</w:t>
      </w:r>
    </w:p>
    <w:p w:rsidR="00F113BD" w:rsidRPr="00254B8B" w:rsidRDefault="00F113BD" w:rsidP="00F113BD">
      <w:pPr>
        <w:shd w:val="clear" w:color="auto" w:fill="FFFFFF"/>
        <w:jc w:val="both"/>
      </w:pPr>
      <w:r>
        <w:t>7</w:t>
      </w:r>
      <w:r w:rsidRPr="00254B8B">
        <w:t xml:space="preserve">. </w:t>
      </w:r>
      <w:proofErr w:type="spellStart"/>
      <w:r w:rsidRPr="00254B8B">
        <w:t>Кошелюк</w:t>
      </w:r>
      <w:proofErr w:type="spellEnd"/>
      <w:r w:rsidRPr="00254B8B">
        <w:t xml:space="preserve"> М.Е. Эффективное </w:t>
      </w:r>
      <w:r w:rsidRPr="00254B8B">
        <w:rPr>
          <w:lang w:val="en-US"/>
        </w:rPr>
        <w:t>PR</w:t>
      </w:r>
      <w:r w:rsidRPr="00254B8B">
        <w:t>-мышление: Мастер-класс для начинающих и профессионалов. - М., 2008.</w:t>
      </w:r>
    </w:p>
    <w:p w:rsidR="00F113BD" w:rsidRPr="00254B8B" w:rsidRDefault="00F113BD" w:rsidP="00F113BD">
      <w:pPr>
        <w:jc w:val="both"/>
      </w:pPr>
      <w:r>
        <w:t>8</w:t>
      </w:r>
      <w:r w:rsidRPr="00254B8B">
        <w:t>. Маслова В.И. Связи с общественностью в управлении персоналом. - М., 2012.</w:t>
      </w:r>
    </w:p>
    <w:p w:rsidR="00F113BD" w:rsidRPr="00254B8B" w:rsidRDefault="00F113BD" w:rsidP="00F113BD">
      <w:pPr>
        <w:jc w:val="both"/>
      </w:pPr>
      <w:r>
        <w:t>9</w:t>
      </w:r>
      <w:r w:rsidRPr="00254B8B">
        <w:t xml:space="preserve">. </w:t>
      </w:r>
      <w:proofErr w:type="spellStart"/>
      <w:r w:rsidRPr="00254B8B">
        <w:t>Ноздренко</w:t>
      </w:r>
      <w:proofErr w:type="spellEnd"/>
      <w:r w:rsidRPr="00254B8B">
        <w:t xml:space="preserve"> А.А., Карлова О.А., Пантелеева И.А., Карлов И.А. Теория и практика креативной деятельности. - Красноярск, 2012.</w:t>
      </w:r>
    </w:p>
    <w:p w:rsidR="00F113BD" w:rsidRPr="00254B8B" w:rsidRDefault="00F113BD" w:rsidP="00F113BD">
      <w:pPr>
        <w:jc w:val="both"/>
      </w:pPr>
      <w:r w:rsidRPr="00254B8B">
        <w:t>1</w:t>
      </w:r>
      <w:r>
        <w:t>0</w:t>
      </w:r>
      <w:r w:rsidRPr="00254B8B">
        <w:t xml:space="preserve">. </w:t>
      </w:r>
      <w:proofErr w:type="spellStart"/>
      <w:r w:rsidRPr="00254B8B">
        <w:t>Чумиков</w:t>
      </w:r>
      <w:proofErr w:type="spellEnd"/>
      <w:r w:rsidRPr="00254B8B">
        <w:t xml:space="preserve"> А.Н. Бочаров М.П. Связи с общественностью: теория и практика. - М., 2010.</w:t>
      </w:r>
    </w:p>
    <w:p w:rsidR="00F113BD" w:rsidRDefault="00F113BD" w:rsidP="00F113BD">
      <w:pPr>
        <w:pStyle w:val="1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11</w:t>
      </w:r>
      <w:r w:rsidRPr="00254B8B">
        <w:rPr>
          <w:rFonts w:ascii="Times New Roman" w:hAnsi="Times New Roman"/>
          <w:b w:val="0"/>
        </w:rPr>
        <w:t>. Фролов С.С. Связи с общественностью в работе фирмы. - М., 2014.</w:t>
      </w:r>
    </w:p>
    <w:p w:rsidR="00F113BD" w:rsidRPr="00735E71" w:rsidRDefault="00F113BD" w:rsidP="00F113BD">
      <w:pPr>
        <w:jc w:val="both"/>
      </w:pPr>
      <w:r>
        <w:t xml:space="preserve">12. </w:t>
      </w:r>
      <w:r w:rsidRPr="00254B8B">
        <w:t xml:space="preserve">Шарков Ф.И. Паблик </w:t>
      </w:r>
      <w:proofErr w:type="spellStart"/>
      <w:r w:rsidRPr="00254B8B">
        <w:t>рилейшнз</w:t>
      </w:r>
      <w:proofErr w:type="spellEnd"/>
      <w:r w:rsidRPr="00254B8B">
        <w:t xml:space="preserve"> (связи с общественностью). - М., 2013.</w:t>
      </w:r>
    </w:p>
    <w:p w:rsidR="00F113BD" w:rsidRPr="00254B8B" w:rsidRDefault="00F113BD" w:rsidP="00F113B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en-US"/>
        </w:rPr>
      </w:pPr>
      <w:r w:rsidRPr="00254B8B">
        <w:rPr>
          <w:rFonts w:ascii="Times New Roman" w:hAnsi="Times New Roman"/>
          <w:b w:val="0"/>
          <w:bCs w:val="0"/>
          <w:i w:val="0"/>
          <w:sz w:val="24"/>
          <w:szCs w:val="24"/>
          <w:lang w:val="en-US"/>
        </w:rPr>
        <w:t xml:space="preserve">13. Fraser P. </w:t>
      </w:r>
      <w:proofErr w:type="spellStart"/>
      <w:r w:rsidRPr="00254B8B">
        <w:rPr>
          <w:rFonts w:ascii="Times New Roman" w:hAnsi="Times New Roman"/>
          <w:b w:val="0"/>
          <w:bCs w:val="0"/>
          <w:i w:val="0"/>
          <w:sz w:val="24"/>
          <w:szCs w:val="24"/>
          <w:lang w:val="en-US"/>
        </w:rPr>
        <w:t>Seitel</w:t>
      </w:r>
      <w:proofErr w:type="spellEnd"/>
      <w:r w:rsidRPr="00254B8B">
        <w:rPr>
          <w:rFonts w:ascii="Times New Roman" w:hAnsi="Times New Roman"/>
          <w:b w:val="0"/>
          <w:bCs w:val="0"/>
          <w:i w:val="0"/>
          <w:sz w:val="24"/>
          <w:szCs w:val="24"/>
          <w:lang w:val="en-US"/>
        </w:rPr>
        <w:t>. P</w:t>
      </w:r>
      <w:r w:rsidRPr="00254B8B">
        <w:rPr>
          <w:rFonts w:ascii="Times New Roman" w:hAnsi="Times New Roman"/>
          <w:b w:val="0"/>
          <w:i w:val="0"/>
          <w:sz w:val="24"/>
          <w:szCs w:val="24"/>
          <w:lang w:val="en-US"/>
        </w:rPr>
        <w:t>ractice of Public Relations. - New York, 2010.</w:t>
      </w:r>
    </w:p>
    <w:p w:rsidR="00F113BD" w:rsidRPr="00254B8B" w:rsidRDefault="00F113BD" w:rsidP="00F113BD">
      <w:pPr>
        <w:jc w:val="both"/>
      </w:pPr>
      <w:r w:rsidRPr="00254B8B">
        <w:t xml:space="preserve">14. </w:t>
      </w:r>
      <w:r w:rsidRPr="00254B8B">
        <w:rPr>
          <w:lang w:val="en-US"/>
        </w:rPr>
        <w:t>PR</w:t>
      </w:r>
      <w:r w:rsidRPr="00254B8B">
        <w:t xml:space="preserve"> и СМИ в Казахстане. - А., 2001-201</w:t>
      </w:r>
      <w:r>
        <w:t>9</w:t>
      </w:r>
      <w:r w:rsidRPr="00254B8B">
        <w:t xml:space="preserve">. </w:t>
      </w:r>
    </w:p>
    <w:p w:rsidR="00F113BD" w:rsidRPr="00A10FD4" w:rsidRDefault="00F113BD" w:rsidP="00F113BD">
      <w:pPr>
        <w:jc w:val="both"/>
      </w:pPr>
      <w:r w:rsidRPr="00254B8B">
        <w:rPr>
          <w:lang w:val="en-US"/>
        </w:rPr>
        <w:t xml:space="preserve">15. </w:t>
      </w:r>
      <w:r w:rsidRPr="00254B8B">
        <w:t>Советник</w:t>
      </w:r>
      <w:r w:rsidRPr="00254B8B">
        <w:rPr>
          <w:lang w:val="en-US"/>
        </w:rPr>
        <w:t xml:space="preserve">. - </w:t>
      </w:r>
      <w:proofErr w:type="gramStart"/>
      <w:r w:rsidRPr="00254B8B">
        <w:t>М</w:t>
      </w:r>
      <w:r w:rsidRPr="00254B8B">
        <w:rPr>
          <w:lang w:val="en-US"/>
        </w:rPr>
        <w:t>.,</w:t>
      </w:r>
      <w:proofErr w:type="gramEnd"/>
      <w:r w:rsidRPr="00254B8B">
        <w:rPr>
          <w:lang w:val="en-US"/>
        </w:rPr>
        <w:t xml:space="preserve"> 2001-201</w:t>
      </w:r>
      <w:r>
        <w:t>9</w:t>
      </w:r>
      <w:r w:rsidRPr="00254B8B">
        <w:rPr>
          <w:lang w:val="en-US"/>
        </w:rPr>
        <w:t>.</w:t>
      </w:r>
    </w:p>
    <w:p w:rsidR="00F113BD" w:rsidRPr="00F113BD" w:rsidRDefault="00F113BD" w:rsidP="00F113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3BD" w:rsidRPr="00F1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BD"/>
    <w:rsid w:val="008E6095"/>
    <w:rsid w:val="009354E7"/>
    <w:rsid w:val="00F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A9AE-8283-45FA-A34D-5F65EE15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3BD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13B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BD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113B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F113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13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Normal">
    <w:name w:val="Normal"/>
    <w:rsid w:val="00F1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2022-11-27T22:47:00Z</dcterms:created>
  <dcterms:modified xsi:type="dcterms:W3CDTF">2022-11-27T22:50:00Z</dcterms:modified>
</cp:coreProperties>
</file>